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5103"/>
      </w:tblGrid>
      <w:tr w:rsidR="00F04A76" w:rsidRPr="00D16F8F" w14:paraId="1007FC76" w14:textId="77777777" w:rsidTr="001E295E">
        <w:tc>
          <w:tcPr>
            <w:tcW w:w="9747" w:type="dxa"/>
            <w:gridSpan w:val="2"/>
            <w:tcBorders>
              <w:bottom w:val="single" w:sz="4" w:space="0" w:color="auto"/>
            </w:tcBorders>
          </w:tcPr>
          <w:p w14:paraId="20766A64" w14:textId="77777777" w:rsidR="00F04A76" w:rsidRPr="00D16F8F" w:rsidRDefault="00F04A76" w:rsidP="001E295E">
            <w:pPr>
              <w:spacing w:line="240" w:lineRule="exact"/>
              <w:jc w:val="center"/>
              <w:rPr>
                <w:rFonts w:ascii="Arial" w:hAnsi="Arial" w:cs="Arial"/>
                <w:b/>
              </w:rPr>
            </w:pPr>
          </w:p>
          <w:p w14:paraId="79DC2FDA" w14:textId="77777777" w:rsidR="00F04A76" w:rsidRPr="00D16F8F" w:rsidRDefault="00F04A76" w:rsidP="001E295E">
            <w:pPr>
              <w:spacing w:line="240" w:lineRule="exact"/>
              <w:jc w:val="center"/>
              <w:rPr>
                <w:rFonts w:ascii="Arial" w:hAnsi="Arial" w:cs="Arial"/>
                <w:b/>
              </w:rPr>
            </w:pPr>
            <w:r>
              <w:rPr>
                <w:rFonts w:ascii="Arial" w:hAnsi="Arial" w:cs="Arial"/>
                <w:b/>
              </w:rPr>
              <w:t>PRÄSENTATIONSPRÜFUNG –</w:t>
            </w:r>
            <w:r w:rsidRPr="00D16F8F">
              <w:rPr>
                <w:rFonts w:ascii="Arial" w:hAnsi="Arial" w:cs="Arial"/>
                <w:b/>
              </w:rPr>
              <w:t xml:space="preserve"> 5. PRÜFUNGSFACH</w:t>
            </w:r>
            <w:r>
              <w:rPr>
                <w:rFonts w:ascii="Arial" w:hAnsi="Arial" w:cs="Arial"/>
                <w:b/>
              </w:rPr>
              <w:t xml:space="preserve"> - TISCHVORLAGE</w:t>
            </w:r>
          </w:p>
          <w:p w14:paraId="0F24C0E0" w14:textId="77777777" w:rsidR="00F04A76" w:rsidRPr="00D16F8F" w:rsidRDefault="00F04A76" w:rsidP="001E295E">
            <w:pPr>
              <w:spacing w:line="240" w:lineRule="exact"/>
              <w:jc w:val="center"/>
              <w:rPr>
                <w:rFonts w:ascii="Arial" w:hAnsi="Arial" w:cs="Arial"/>
                <w:b/>
              </w:rPr>
            </w:pPr>
          </w:p>
        </w:tc>
      </w:tr>
      <w:tr w:rsidR="00F04A76" w:rsidRPr="00D16F8F" w14:paraId="798CFA48" w14:textId="77777777" w:rsidTr="001E295E">
        <w:tc>
          <w:tcPr>
            <w:tcW w:w="9747" w:type="dxa"/>
            <w:gridSpan w:val="2"/>
            <w:tcBorders>
              <w:top w:val="single" w:sz="4" w:space="0" w:color="auto"/>
              <w:left w:val="nil"/>
              <w:bottom w:val="nil"/>
              <w:right w:val="nil"/>
            </w:tcBorders>
          </w:tcPr>
          <w:p w14:paraId="1D6CFF5B" w14:textId="77777777" w:rsidR="00F04A76" w:rsidRPr="00D16F8F" w:rsidRDefault="00F04A76" w:rsidP="001E295E">
            <w:pPr>
              <w:rPr>
                <w:rFonts w:ascii="Arial" w:hAnsi="Arial" w:cs="Arial"/>
                <w:sz w:val="20"/>
              </w:rPr>
            </w:pPr>
          </w:p>
        </w:tc>
      </w:tr>
      <w:tr w:rsidR="00F04A76" w:rsidRPr="00D16F8F" w14:paraId="360FAA4F" w14:textId="77777777" w:rsidTr="001E295E">
        <w:tc>
          <w:tcPr>
            <w:tcW w:w="4606" w:type="dxa"/>
            <w:tcBorders>
              <w:top w:val="single" w:sz="4" w:space="0" w:color="auto"/>
              <w:left w:val="single" w:sz="4" w:space="0" w:color="auto"/>
              <w:bottom w:val="single" w:sz="4" w:space="0" w:color="auto"/>
              <w:right w:val="single" w:sz="4" w:space="0" w:color="auto"/>
            </w:tcBorders>
          </w:tcPr>
          <w:p w14:paraId="306A8D26" w14:textId="77777777" w:rsidR="00F04A76" w:rsidRPr="00D16F8F" w:rsidRDefault="00F04A76" w:rsidP="001E295E">
            <w:pPr>
              <w:rPr>
                <w:rFonts w:ascii="Arial" w:hAnsi="Arial" w:cs="Arial"/>
              </w:rPr>
            </w:pPr>
          </w:p>
          <w:p w14:paraId="02B5C15A" w14:textId="77777777" w:rsidR="00F04A76" w:rsidRPr="00D16F8F" w:rsidRDefault="00F04A76" w:rsidP="001E295E">
            <w:pPr>
              <w:rPr>
                <w:rFonts w:ascii="Arial" w:hAnsi="Arial" w:cs="Arial"/>
              </w:rPr>
            </w:pPr>
          </w:p>
        </w:tc>
        <w:tc>
          <w:tcPr>
            <w:tcW w:w="5141" w:type="dxa"/>
            <w:tcBorders>
              <w:top w:val="single" w:sz="4" w:space="0" w:color="auto"/>
              <w:left w:val="single" w:sz="4" w:space="0" w:color="auto"/>
              <w:bottom w:val="single" w:sz="4" w:space="0" w:color="auto"/>
              <w:right w:val="single" w:sz="4" w:space="0" w:color="auto"/>
            </w:tcBorders>
          </w:tcPr>
          <w:p w14:paraId="11C7454F" w14:textId="77777777" w:rsidR="00F04A76" w:rsidRDefault="00F04A76" w:rsidP="001E295E">
            <w:pPr>
              <w:rPr>
                <w:rFonts w:ascii="Arial" w:hAnsi="Arial" w:cs="Arial"/>
              </w:rPr>
            </w:pPr>
          </w:p>
          <w:p w14:paraId="24BA903D" w14:textId="77777777" w:rsidR="00F04A76" w:rsidRDefault="00F04A76" w:rsidP="001E295E">
            <w:pPr>
              <w:rPr>
                <w:rFonts w:ascii="Arial" w:hAnsi="Arial" w:cs="Arial"/>
              </w:rPr>
            </w:pPr>
          </w:p>
          <w:p w14:paraId="243C48E8" w14:textId="77777777" w:rsidR="00F04A76" w:rsidRDefault="00F04A76" w:rsidP="001E295E">
            <w:pPr>
              <w:rPr>
                <w:rFonts w:ascii="Arial" w:hAnsi="Arial" w:cs="Arial"/>
              </w:rPr>
            </w:pPr>
          </w:p>
          <w:p w14:paraId="37C5B078" w14:textId="77777777" w:rsidR="00F04A76" w:rsidRPr="00D16F8F" w:rsidRDefault="00F04A76" w:rsidP="001E295E">
            <w:pPr>
              <w:rPr>
                <w:rFonts w:ascii="Arial" w:hAnsi="Arial" w:cs="Arial"/>
              </w:rPr>
            </w:pPr>
          </w:p>
        </w:tc>
      </w:tr>
      <w:tr w:rsidR="00F04A76" w:rsidRPr="00D16F8F" w14:paraId="7B4E655D" w14:textId="77777777" w:rsidTr="001E295E">
        <w:tc>
          <w:tcPr>
            <w:tcW w:w="4606" w:type="dxa"/>
            <w:tcBorders>
              <w:top w:val="single" w:sz="4" w:space="0" w:color="auto"/>
              <w:left w:val="nil"/>
              <w:bottom w:val="nil"/>
              <w:right w:val="nil"/>
            </w:tcBorders>
          </w:tcPr>
          <w:p w14:paraId="120573D1" w14:textId="77777777" w:rsidR="00F04A76" w:rsidRPr="00D16F8F" w:rsidRDefault="00F04A76" w:rsidP="001E295E">
            <w:pPr>
              <w:rPr>
                <w:rFonts w:ascii="Arial" w:hAnsi="Arial" w:cs="Arial"/>
                <w:sz w:val="20"/>
              </w:rPr>
            </w:pPr>
            <w:r>
              <w:rPr>
                <w:rFonts w:ascii="Arial" w:hAnsi="Arial" w:cs="Arial"/>
                <w:sz w:val="20"/>
              </w:rPr>
              <w:t>Name,</w:t>
            </w:r>
            <w:r w:rsidRPr="00D16F8F">
              <w:rPr>
                <w:rFonts w:ascii="Arial" w:hAnsi="Arial" w:cs="Arial"/>
                <w:sz w:val="20"/>
              </w:rPr>
              <w:t xml:space="preserve"> Vorname</w:t>
            </w:r>
          </w:p>
        </w:tc>
        <w:tc>
          <w:tcPr>
            <w:tcW w:w="5141" w:type="dxa"/>
            <w:tcBorders>
              <w:top w:val="nil"/>
              <w:left w:val="nil"/>
              <w:bottom w:val="nil"/>
              <w:right w:val="nil"/>
            </w:tcBorders>
          </w:tcPr>
          <w:p w14:paraId="7638C79A" w14:textId="77777777" w:rsidR="00F04A76" w:rsidRPr="00D16F8F" w:rsidRDefault="00F04A76" w:rsidP="001E295E">
            <w:pPr>
              <w:rPr>
                <w:rFonts w:ascii="Arial" w:hAnsi="Arial" w:cs="Arial"/>
                <w:sz w:val="20"/>
              </w:rPr>
            </w:pPr>
            <w:r w:rsidRPr="00D16F8F">
              <w:rPr>
                <w:rFonts w:ascii="Arial" w:hAnsi="Arial" w:cs="Arial"/>
                <w:sz w:val="20"/>
              </w:rPr>
              <w:t>Fach</w:t>
            </w:r>
            <w:r>
              <w:rPr>
                <w:rFonts w:ascii="Arial" w:hAnsi="Arial" w:cs="Arial"/>
                <w:sz w:val="20"/>
              </w:rPr>
              <w:t xml:space="preserve"> / Fachlehrer</w:t>
            </w:r>
          </w:p>
        </w:tc>
      </w:tr>
    </w:tbl>
    <w:p w14:paraId="09939BE5" w14:textId="77777777" w:rsidR="00657377" w:rsidRPr="00657377" w:rsidRDefault="00657377" w:rsidP="00473215">
      <w:pPr>
        <w:spacing w:before="120"/>
        <w:rPr>
          <w:rFonts w:ascii="Arial" w:hAnsi="Arial" w:cs="Arial"/>
        </w:rPr>
      </w:pPr>
    </w:p>
    <w:p w14:paraId="7ED06473" w14:textId="77777777" w:rsidR="0098623C" w:rsidRDefault="0098623C" w:rsidP="00F04A76">
      <w:pPr>
        <w:rPr>
          <w:rFonts w:ascii="Arial" w:hAnsi="Arial" w:cs="Arial"/>
          <w:b/>
        </w:rPr>
      </w:pPr>
      <w:r w:rsidRPr="00F04A76">
        <w:rPr>
          <w:rFonts w:ascii="Arial" w:hAnsi="Arial" w:cs="Arial"/>
          <w:b/>
        </w:rPr>
        <w:t>Thema:</w:t>
      </w:r>
    </w:p>
    <w:p w14:paraId="1BAA7BD4" w14:textId="77777777" w:rsidR="00F04A76" w:rsidRPr="00F04A76" w:rsidRDefault="00F04A76" w:rsidP="00F04A76">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8"/>
      </w:tblGrid>
      <w:tr w:rsidR="0098623C" w:rsidRPr="00657377" w14:paraId="29F6A903" w14:textId="77777777" w:rsidTr="009315EE">
        <w:trPr>
          <w:trHeight w:val="759"/>
        </w:trPr>
        <w:tc>
          <w:tcPr>
            <w:tcW w:w="9828" w:type="dxa"/>
            <w:vAlign w:val="center"/>
          </w:tcPr>
          <w:p w14:paraId="765D24CA" w14:textId="77777777" w:rsidR="00D44244" w:rsidRPr="00657377" w:rsidRDefault="00D44244" w:rsidP="002C422F">
            <w:pPr>
              <w:rPr>
                <w:rFonts w:ascii="Arial" w:hAnsi="Arial" w:cs="Arial"/>
              </w:rPr>
            </w:pPr>
          </w:p>
          <w:p w14:paraId="6E596319" w14:textId="77777777" w:rsidR="00657377" w:rsidRPr="00657377" w:rsidRDefault="00657377" w:rsidP="002C422F">
            <w:pPr>
              <w:rPr>
                <w:rFonts w:ascii="Arial" w:hAnsi="Arial" w:cs="Arial"/>
              </w:rPr>
            </w:pPr>
          </w:p>
          <w:p w14:paraId="763BB0E3" w14:textId="77777777" w:rsidR="00657377" w:rsidRPr="00657377" w:rsidRDefault="00657377" w:rsidP="002C422F">
            <w:pPr>
              <w:rPr>
                <w:rFonts w:ascii="Arial" w:hAnsi="Arial" w:cs="Arial"/>
              </w:rPr>
            </w:pPr>
          </w:p>
          <w:p w14:paraId="6AFDE993" w14:textId="77777777" w:rsidR="00657377" w:rsidRPr="00657377" w:rsidRDefault="00657377" w:rsidP="002C422F">
            <w:pPr>
              <w:rPr>
                <w:rFonts w:ascii="Arial" w:hAnsi="Arial" w:cs="Arial"/>
              </w:rPr>
            </w:pPr>
          </w:p>
        </w:tc>
      </w:tr>
    </w:tbl>
    <w:p w14:paraId="76BE8E43" w14:textId="77777777" w:rsidR="00657377" w:rsidRPr="00657377" w:rsidRDefault="00657377" w:rsidP="00473215">
      <w:pPr>
        <w:spacing w:before="120"/>
        <w:rPr>
          <w:rFonts w:ascii="Arial" w:hAnsi="Arial" w:cs="Arial"/>
        </w:rPr>
      </w:pPr>
    </w:p>
    <w:p w14:paraId="076486B2" w14:textId="77777777" w:rsidR="00657377" w:rsidRPr="00657377" w:rsidRDefault="00657377" w:rsidP="00473215">
      <w:pPr>
        <w:spacing w:before="120"/>
        <w:rPr>
          <w:rFonts w:ascii="Arial" w:hAnsi="Arial" w:cs="Arial"/>
        </w:rPr>
      </w:pPr>
    </w:p>
    <w:p w14:paraId="369012F0" w14:textId="77777777" w:rsidR="00657377" w:rsidRDefault="00080FDD" w:rsidP="00243988">
      <w:pPr>
        <w:rPr>
          <w:rFonts w:ascii="Arial" w:hAnsi="Arial" w:cs="Arial"/>
        </w:rPr>
      </w:pPr>
      <w:r w:rsidRPr="00657377">
        <w:rPr>
          <w:rFonts w:ascii="Arial" w:hAnsi="Arial" w:cs="Arial"/>
          <w:b/>
        </w:rPr>
        <w:t>Gliederung</w:t>
      </w:r>
      <w:r w:rsidRPr="00657377">
        <w:rPr>
          <w:rFonts w:ascii="Arial" w:hAnsi="Arial" w:cs="Arial"/>
        </w:rPr>
        <w:t>:</w:t>
      </w:r>
    </w:p>
    <w:p w14:paraId="50334479" w14:textId="77777777" w:rsidR="00243988" w:rsidRPr="00657377" w:rsidRDefault="00243988" w:rsidP="0024398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8"/>
      </w:tblGrid>
      <w:tr w:rsidR="0098623C" w:rsidRPr="00657377" w14:paraId="37579395" w14:textId="77777777" w:rsidTr="00473215">
        <w:trPr>
          <w:trHeight w:val="4536"/>
        </w:trPr>
        <w:tc>
          <w:tcPr>
            <w:tcW w:w="9828" w:type="dxa"/>
          </w:tcPr>
          <w:p w14:paraId="59D6B424" w14:textId="77777777" w:rsidR="00243988" w:rsidRDefault="00243988" w:rsidP="00657377">
            <w:pPr>
              <w:spacing w:line="360" w:lineRule="auto"/>
              <w:rPr>
                <w:rFonts w:ascii="Arial" w:hAnsi="Arial" w:cs="Arial"/>
              </w:rPr>
            </w:pPr>
          </w:p>
          <w:p w14:paraId="1CC9AF48" w14:textId="77777777" w:rsidR="0098623C" w:rsidRPr="00657377" w:rsidRDefault="00FB05E9" w:rsidP="00657377">
            <w:pPr>
              <w:spacing w:line="360" w:lineRule="auto"/>
              <w:rPr>
                <w:rFonts w:ascii="Arial" w:hAnsi="Arial" w:cs="Arial"/>
              </w:rPr>
            </w:pPr>
            <w:r w:rsidRPr="00657377">
              <w:rPr>
                <w:rFonts w:ascii="Arial" w:hAnsi="Arial" w:cs="Arial"/>
              </w:rPr>
              <w:t>1</w:t>
            </w:r>
          </w:p>
          <w:p w14:paraId="00562DB5" w14:textId="77777777" w:rsidR="00FB05E9" w:rsidRPr="00657377" w:rsidRDefault="00FB05E9" w:rsidP="00657377">
            <w:pPr>
              <w:spacing w:line="360" w:lineRule="auto"/>
              <w:rPr>
                <w:rFonts w:ascii="Arial" w:hAnsi="Arial" w:cs="Arial"/>
              </w:rPr>
            </w:pPr>
            <w:r w:rsidRPr="00657377">
              <w:rPr>
                <w:rFonts w:ascii="Arial" w:hAnsi="Arial" w:cs="Arial"/>
              </w:rPr>
              <w:t>1.1</w:t>
            </w:r>
          </w:p>
          <w:p w14:paraId="05243659" w14:textId="77777777" w:rsidR="00FB05E9" w:rsidRPr="00657377" w:rsidRDefault="00FB05E9" w:rsidP="00657377">
            <w:pPr>
              <w:spacing w:line="360" w:lineRule="auto"/>
              <w:rPr>
                <w:rFonts w:ascii="Arial" w:hAnsi="Arial" w:cs="Arial"/>
              </w:rPr>
            </w:pPr>
            <w:r w:rsidRPr="00657377">
              <w:rPr>
                <w:rFonts w:ascii="Arial" w:hAnsi="Arial" w:cs="Arial"/>
              </w:rPr>
              <w:t>1.1.1</w:t>
            </w:r>
          </w:p>
          <w:p w14:paraId="5945B3A6" w14:textId="77777777" w:rsidR="00FB05E9" w:rsidRPr="00657377" w:rsidRDefault="00FB05E9" w:rsidP="00657377">
            <w:pPr>
              <w:spacing w:line="360" w:lineRule="auto"/>
              <w:rPr>
                <w:rFonts w:ascii="Arial" w:hAnsi="Arial" w:cs="Arial"/>
              </w:rPr>
            </w:pPr>
            <w:r w:rsidRPr="00657377">
              <w:rPr>
                <w:rFonts w:ascii="Arial" w:hAnsi="Arial" w:cs="Arial"/>
              </w:rPr>
              <w:t>1.1.2</w:t>
            </w:r>
          </w:p>
          <w:p w14:paraId="6209BBCF" w14:textId="77777777" w:rsidR="00FB05E9" w:rsidRPr="00657377" w:rsidRDefault="00FB05E9" w:rsidP="00657377">
            <w:pPr>
              <w:spacing w:line="360" w:lineRule="auto"/>
              <w:rPr>
                <w:rFonts w:ascii="Arial" w:hAnsi="Arial" w:cs="Arial"/>
              </w:rPr>
            </w:pPr>
            <w:r w:rsidRPr="00657377">
              <w:rPr>
                <w:rFonts w:ascii="Arial" w:hAnsi="Arial" w:cs="Arial"/>
              </w:rPr>
              <w:t>1.2</w:t>
            </w:r>
          </w:p>
          <w:p w14:paraId="2A76D95B" w14:textId="77777777" w:rsidR="00FB05E9" w:rsidRPr="00657377" w:rsidRDefault="00FB05E9" w:rsidP="00657377">
            <w:pPr>
              <w:spacing w:line="360" w:lineRule="auto"/>
              <w:rPr>
                <w:rFonts w:ascii="Arial" w:hAnsi="Arial" w:cs="Arial"/>
              </w:rPr>
            </w:pPr>
            <w:r w:rsidRPr="00657377">
              <w:rPr>
                <w:rFonts w:ascii="Arial" w:hAnsi="Arial" w:cs="Arial"/>
              </w:rPr>
              <w:t>1.2.1</w:t>
            </w:r>
          </w:p>
          <w:p w14:paraId="2C7D33C7" w14:textId="77777777" w:rsidR="00FB05E9" w:rsidRPr="00657377" w:rsidRDefault="00FB05E9" w:rsidP="00657377">
            <w:pPr>
              <w:spacing w:line="360" w:lineRule="auto"/>
              <w:rPr>
                <w:rFonts w:ascii="Arial" w:hAnsi="Arial" w:cs="Arial"/>
              </w:rPr>
            </w:pPr>
            <w:r w:rsidRPr="00657377">
              <w:rPr>
                <w:rFonts w:ascii="Arial" w:hAnsi="Arial" w:cs="Arial"/>
              </w:rPr>
              <w:t>1.2.2</w:t>
            </w:r>
          </w:p>
          <w:p w14:paraId="5A382A37" w14:textId="77777777" w:rsidR="00FB05E9" w:rsidRPr="00657377" w:rsidRDefault="00FB05E9" w:rsidP="00657377">
            <w:pPr>
              <w:spacing w:line="360" w:lineRule="auto"/>
              <w:rPr>
                <w:rFonts w:ascii="Arial" w:hAnsi="Arial" w:cs="Arial"/>
              </w:rPr>
            </w:pPr>
            <w:r w:rsidRPr="00657377">
              <w:rPr>
                <w:rFonts w:ascii="Arial" w:hAnsi="Arial" w:cs="Arial"/>
              </w:rPr>
              <w:t>1.3</w:t>
            </w:r>
          </w:p>
          <w:p w14:paraId="37B8606A" w14:textId="77777777" w:rsidR="00FB05E9" w:rsidRPr="00657377" w:rsidRDefault="00FB05E9" w:rsidP="00657377">
            <w:pPr>
              <w:spacing w:line="360" w:lineRule="auto"/>
              <w:rPr>
                <w:rFonts w:ascii="Arial" w:hAnsi="Arial" w:cs="Arial"/>
              </w:rPr>
            </w:pPr>
            <w:r w:rsidRPr="00657377">
              <w:rPr>
                <w:rFonts w:ascii="Arial" w:hAnsi="Arial" w:cs="Arial"/>
              </w:rPr>
              <w:t>2</w:t>
            </w:r>
            <w:r w:rsidR="00B63BF8" w:rsidRPr="00657377">
              <w:rPr>
                <w:rFonts w:ascii="Arial" w:hAnsi="Arial" w:cs="Arial"/>
              </w:rPr>
              <w:t xml:space="preserve"> </w:t>
            </w:r>
            <w:r w:rsidRPr="00657377">
              <w:rPr>
                <w:rFonts w:ascii="Arial" w:hAnsi="Arial" w:cs="Arial"/>
              </w:rPr>
              <w:t>usw</w:t>
            </w:r>
            <w:r w:rsidR="00B63BF8" w:rsidRPr="00657377">
              <w:rPr>
                <w:rFonts w:ascii="Arial" w:hAnsi="Arial" w:cs="Arial"/>
              </w:rPr>
              <w:t>.</w:t>
            </w:r>
          </w:p>
        </w:tc>
      </w:tr>
    </w:tbl>
    <w:p w14:paraId="35C58323" w14:textId="77777777" w:rsidR="00657377" w:rsidRPr="00657377" w:rsidRDefault="00657377" w:rsidP="00473215">
      <w:pPr>
        <w:spacing w:before="120"/>
        <w:rPr>
          <w:rFonts w:ascii="Arial" w:hAnsi="Arial" w:cs="Arial"/>
          <w:bCs/>
        </w:rPr>
      </w:pPr>
    </w:p>
    <w:p w14:paraId="75449E8B" w14:textId="77777777" w:rsidR="00080FDD" w:rsidRDefault="00657377" w:rsidP="00473215">
      <w:pPr>
        <w:spacing w:before="120"/>
        <w:rPr>
          <w:rFonts w:ascii="Arial" w:hAnsi="Arial" w:cs="Arial"/>
          <w:b/>
          <w:bCs/>
        </w:rPr>
      </w:pPr>
      <w:r w:rsidRPr="00657377">
        <w:rPr>
          <w:rFonts w:ascii="Arial" w:hAnsi="Arial" w:cs="Arial"/>
          <w:b/>
          <w:bCs/>
        </w:rPr>
        <w:br w:type="page"/>
      </w:r>
      <w:r w:rsidRPr="00657377">
        <w:rPr>
          <w:rFonts w:ascii="Arial" w:hAnsi="Arial" w:cs="Arial"/>
          <w:b/>
          <w:bCs/>
        </w:rPr>
        <w:lastRenderedPageBreak/>
        <w:t>Quellen und Versicherung</w:t>
      </w:r>
      <w:r w:rsidR="00080FDD" w:rsidRPr="00657377">
        <w:rPr>
          <w:rFonts w:ascii="Arial" w:hAnsi="Arial" w:cs="Arial"/>
          <w:b/>
          <w:bCs/>
        </w:rPr>
        <w:t>:</w:t>
      </w:r>
    </w:p>
    <w:p w14:paraId="6483299D" w14:textId="77777777" w:rsidR="00657377" w:rsidRPr="00657377" w:rsidRDefault="00657377" w:rsidP="00657377">
      <w:pP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8"/>
      </w:tblGrid>
      <w:tr w:rsidR="0098623C" w:rsidRPr="00657377" w14:paraId="44DE9F1A" w14:textId="77777777" w:rsidTr="00473215">
        <w:trPr>
          <w:trHeight w:val="4536"/>
        </w:trPr>
        <w:tc>
          <w:tcPr>
            <w:tcW w:w="9828" w:type="dxa"/>
          </w:tcPr>
          <w:p w14:paraId="16E05443" w14:textId="77777777" w:rsidR="0098623C" w:rsidRPr="00657377" w:rsidRDefault="0098623C" w:rsidP="005669C3">
            <w:pPr>
              <w:rPr>
                <w:rFonts w:ascii="Arial" w:hAnsi="Arial" w:cs="Arial"/>
                <w:bCs/>
              </w:rPr>
            </w:pPr>
          </w:p>
          <w:p w14:paraId="370D5B38" w14:textId="77777777" w:rsidR="00042396" w:rsidRPr="00657377" w:rsidRDefault="00042396" w:rsidP="005669C3">
            <w:pPr>
              <w:rPr>
                <w:rFonts w:ascii="Arial" w:hAnsi="Arial" w:cs="Arial"/>
                <w:bCs/>
              </w:rPr>
            </w:pPr>
            <w:r w:rsidRPr="00657377">
              <w:rPr>
                <w:rFonts w:ascii="Arial" w:hAnsi="Arial" w:cs="Arial"/>
                <w:bCs/>
              </w:rPr>
              <w:t>Beispiele:</w:t>
            </w:r>
          </w:p>
          <w:p w14:paraId="167134C2" w14:textId="77777777" w:rsidR="00042396" w:rsidRPr="00657377" w:rsidRDefault="00042396" w:rsidP="005669C3">
            <w:pPr>
              <w:rPr>
                <w:rFonts w:ascii="Arial" w:hAnsi="Arial" w:cs="Arial"/>
                <w:bCs/>
              </w:rPr>
            </w:pPr>
          </w:p>
          <w:p w14:paraId="1001BFE9" w14:textId="77777777" w:rsidR="00042396" w:rsidRPr="00657377" w:rsidRDefault="00042396" w:rsidP="00042396">
            <w:pPr>
              <w:rPr>
                <w:rFonts w:ascii="Arial" w:hAnsi="Arial" w:cs="Arial"/>
                <w:bCs/>
              </w:rPr>
            </w:pPr>
            <w:r w:rsidRPr="00657377">
              <w:rPr>
                <w:rFonts w:ascii="Arial" w:hAnsi="Arial" w:cs="Arial"/>
                <w:bCs/>
              </w:rPr>
              <w:t>1. Buch</w:t>
            </w:r>
          </w:p>
          <w:p w14:paraId="2E2C016C" w14:textId="77777777" w:rsidR="00042396" w:rsidRPr="00657377" w:rsidRDefault="00042396" w:rsidP="005669C3">
            <w:pPr>
              <w:rPr>
                <w:rFonts w:ascii="Arial" w:hAnsi="Arial" w:cs="Arial"/>
                <w:bCs/>
              </w:rPr>
            </w:pPr>
          </w:p>
          <w:p w14:paraId="693F536A" w14:textId="77777777" w:rsidR="00042396" w:rsidRPr="00657377" w:rsidRDefault="00042396" w:rsidP="005669C3">
            <w:pPr>
              <w:rPr>
                <w:rFonts w:ascii="Arial" w:hAnsi="Arial" w:cs="Arial"/>
                <w:bCs/>
              </w:rPr>
            </w:pPr>
            <w:r w:rsidRPr="00657377">
              <w:rPr>
                <w:rFonts w:ascii="Arial" w:hAnsi="Arial" w:cs="Arial"/>
                <w:bCs/>
              </w:rPr>
              <w:t>Mustermann, Hans: Das mündliche Abitur. So komme ich durch. Karlsruhe 2009.</w:t>
            </w:r>
          </w:p>
          <w:p w14:paraId="3D6FF8C7" w14:textId="77777777" w:rsidR="00042396" w:rsidRPr="00657377" w:rsidRDefault="00042396" w:rsidP="005669C3">
            <w:pPr>
              <w:rPr>
                <w:rFonts w:ascii="Arial" w:hAnsi="Arial" w:cs="Arial"/>
                <w:bCs/>
              </w:rPr>
            </w:pPr>
          </w:p>
          <w:p w14:paraId="0BA7BA05" w14:textId="77777777" w:rsidR="00042396" w:rsidRPr="00657377" w:rsidRDefault="00042396" w:rsidP="005669C3">
            <w:pPr>
              <w:rPr>
                <w:rFonts w:ascii="Arial" w:hAnsi="Arial" w:cs="Arial"/>
                <w:bCs/>
              </w:rPr>
            </w:pPr>
            <w:r w:rsidRPr="00657377">
              <w:rPr>
                <w:rFonts w:ascii="Arial" w:hAnsi="Arial" w:cs="Arial"/>
                <w:bCs/>
              </w:rPr>
              <w:t>(Autor, Titel, Erscheinungsort, Erscheinungsjahr, ggf. Auflage)</w:t>
            </w:r>
          </w:p>
          <w:p w14:paraId="3C980F7C" w14:textId="77777777" w:rsidR="00042396" w:rsidRPr="00657377" w:rsidRDefault="00042396" w:rsidP="005669C3">
            <w:pPr>
              <w:rPr>
                <w:rFonts w:ascii="Arial" w:hAnsi="Arial" w:cs="Arial"/>
                <w:bCs/>
              </w:rPr>
            </w:pPr>
          </w:p>
          <w:p w14:paraId="3096CE55" w14:textId="77777777" w:rsidR="00042396" w:rsidRPr="00657377" w:rsidRDefault="00042396" w:rsidP="005669C3">
            <w:pPr>
              <w:rPr>
                <w:rFonts w:ascii="Arial" w:hAnsi="Arial" w:cs="Arial"/>
                <w:bCs/>
              </w:rPr>
            </w:pPr>
            <w:r w:rsidRPr="00657377">
              <w:rPr>
                <w:rFonts w:ascii="Arial" w:hAnsi="Arial" w:cs="Arial"/>
                <w:bCs/>
              </w:rPr>
              <w:t>2. Internetquelle / Internetartikel</w:t>
            </w:r>
          </w:p>
          <w:p w14:paraId="247654E5" w14:textId="77777777" w:rsidR="00042396" w:rsidRPr="00657377" w:rsidRDefault="00042396" w:rsidP="005669C3">
            <w:pPr>
              <w:rPr>
                <w:rFonts w:ascii="Arial" w:hAnsi="Arial" w:cs="Arial"/>
                <w:bCs/>
              </w:rPr>
            </w:pPr>
          </w:p>
          <w:p w14:paraId="6AA389A4" w14:textId="77777777" w:rsidR="00042396" w:rsidRPr="00657377" w:rsidRDefault="00042396" w:rsidP="00042396">
            <w:pPr>
              <w:widowControl w:val="0"/>
              <w:tabs>
                <w:tab w:val="left" w:pos="1320"/>
              </w:tabs>
              <w:autoSpaceDE w:val="0"/>
              <w:autoSpaceDN w:val="0"/>
              <w:adjustRightInd w:val="0"/>
              <w:rPr>
                <w:rFonts w:ascii="Arial" w:hAnsi="Arial" w:cs="Arial"/>
              </w:rPr>
            </w:pPr>
            <w:r w:rsidRPr="00657377">
              <w:rPr>
                <w:rFonts w:ascii="Arial" w:hAnsi="Arial" w:cs="Arial"/>
              </w:rPr>
              <w:t xml:space="preserve">Hildebrandt, Joachim V.: Legenden sterben nicht, in: DIE ZEIT Nr.30 (21.07.2005), zitiert nach: </w:t>
            </w:r>
            <w:hyperlink r:id="rId8" w:history="1">
              <w:r w:rsidRPr="00657377">
                <w:rPr>
                  <w:rFonts w:ascii="Arial" w:hAnsi="Arial" w:cs="Arial"/>
                </w:rPr>
                <w:t>http://www.zeit.de/2005/30/L-Burg</w:t>
              </w:r>
            </w:hyperlink>
            <w:r w:rsidRPr="00657377">
              <w:rPr>
                <w:rFonts w:ascii="Arial" w:hAnsi="Arial" w:cs="Arial"/>
              </w:rPr>
              <w:t xml:space="preserve"> (22.7.2005).</w:t>
            </w:r>
          </w:p>
          <w:p w14:paraId="1EE4381D" w14:textId="77777777" w:rsidR="00042396" w:rsidRPr="00657377" w:rsidRDefault="00042396" w:rsidP="00042396">
            <w:pPr>
              <w:widowControl w:val="0"/>
              <w:tabs>
                <w:tab w:val="left" w:pos="1320"/>
              </w:tabs>
              <w:autoSpaceDE w:val="0"/>
              <w:autoSpaceDN w:val="0"/>
              <w:adjustRightInd w:val="0"/>
              <w:rPr>
                <w:rFonts w:ascii="Arial" w:hAnsi="Arial" w:cs="Arial"/>
              </w:rPr>
            </w:pPr>
          </w:p>
          <w:p w14:paraId="34497AB7" w14:textId="77777777" w:rsidR="00042396" w:rsidRPr="00657377" w:rsidRDefault="00042396" w:rsidP="00042396">
            <w:pPr>
              <w:widowControl w:val="0"/>
              <w:tabs>
                <w:tab w:val="left" w:pos="1320"/>
              </w:tabs>
              <w:autoSpaceDE w:val="0"/>
              <w:autoSpaceDN w:val="0"/>
              <w:adjustRightInd w:val="0"/>
              <w:rPr>
                <w:rFonts w:ascii="Arial" w:hAnsi="Arial" w:cs="Arial"/>
              </w:rPr>
            </w:pPr>
            <w:r w:rsidRPr="00657377">
              <w:rPr>
                <w:rFonts w:ascii="Arial" w:hAnsi="Arial" w:cs="Arial"/>
              </w:rPr>
              <w:t>(komplette URL mit Zugriffsdatum)</w:t>
            </w:r>
          </w:p>
          <w:p w14:paraId="01F59194" w14:textId="77777777" w:rsidR="00042396" w:rsidRPr="00657377" w:rsidRDefault="00042396" w:rsidP="005669C3">
            <w:pPr>
              <w:rPr>
                <w:rFonts w:ascii="Arial" w:hAnsi="Arial" w:cs="Arial"/>
                <w:bCs/>
              </w:rPr>
            </w:pPr>
          </w:p>
        </w:tc>
      </w:tr>
    </w:tbl>
    <w:p w14:paraId="2B8A751A" w14:textId="77777777" w:rsidR="00657377" w:rsidRPr="00657377" w:rsidRDefault="00657377" w:rsidP="00080FDD">
      <w:pPr>
        <w:rPr>
          <w:rFonts w:ascii="Arial" w:hAnsi="Arial" w:cs="Arial"/>
        </w:rPr>
      </w:pPr>
    </w:p>
    <w:p w14:paraId="79BB29F4" w14:textId="77777777" w:rsidR="00657377" w:rsidRPr="00657377" w:rsidRDefault="00657377" w:rsidP="00657377">
      <w:pPr>
        <w:rPr>
          <w:rFonts w:ascii="Arial" w:eastAsia="Calibri" w:hAnsi="Arial" w:cs="Arial"/>
          <w:b/>
          <w:lang w:eastAsia="en-US"/>
        </w:rPr>
      </w:pPr>
    </w:p>
    <w:p w14:paraId="41AD34F4" w14:textId="77777777" w:rsidR="00251D2E" w:rsidRPr="00251D2E" w:rsidRDefault="00251D2E" w:rsidP="00251D2E">
      <w:pPr>
        <w:pStyle w:val="Default"/>
        <w:rPr>
          <w:color w:val="auto"/>
        </w:rPr>
      </w:pPr>
      <w:r w:rsidRPr="00251D2E">
        <w:rPr>
          <w:b/>
          <w:bCs/>
          <w:color w:val="auto"/>
        </w:rPr>
        <w:t xml:space="preserve">§ 27 Nichtteilnahme, Rücktritt </w:t>
      </w:r>
    </w:p>
    <w:p w14:paraId="2CD53B99" w14:textId="77777777" w:rsidR="00251D2E" w:rsidRPr="00251D2E" w:rsidRDefault="00251D2E" w:rsidP="00251D2E">
      <w:pPr>
        <w:pStyle w:val="Default"/>
        <w:spacing w:after="120"/>
        <w:jc w:val="both"/>
        <w:rPr>
          <w:color w:val="auto"/>
        </w:rPr>
      </w:pPr>
      <w:r w:rsidRPr="00251D2E">
        <w:rPr>
          <w:color w:val="auto"/>
        </w:rPr>
        <w:t xml:space="preserve">(1) Wird ohne wichtigen Grund an einem der Prüfungsteile ganz oder teilweise nicht teilgenommen, gilt dies als Nichtzuerkennung der allgemeinen Hochschulreife. Über das Vorliegen eines wichtigen Grundes entscheidet bei der schriftlichen Prüfung deren Leiter(-in), bei der mündlichen Prüfung die oder der Vorsitzende des Prüfungsausschusses, bei der fachpraktischen Prüfung im Fach Sport die oder der Vorsitzende des Fachausschusses und bei der Kommunikationsprüfung die Schulleiterin oder der Schulleiter. Der Prüfling hat den Grund unverzüglich der Schule mitzuteilen. </w:t>
      </w:r>
    </w:p>
    <w:p w14:paraId="0B5C36F3" w14:textId="77777777" w:rsidR="00251D2E" w:rsidRPr="00251D2E" w:rsidRDefault="00251D2E" w:rsidP="00251D2E">
      <w:pPr>
        <w:pStyle w:val="Default"/>
        <w:spacing w:after="120"/>
        <w:jc w:val="both"/>
        <w:rPr>
          <w:color w:val="auto"/>
        </w:rPr>
      </w:pPr>
      <w:r w:rsidRPr="00251D2E">
        <w:rPr>
          <w:color w:val="auto"/>
        </w:rPr>
        <w:t xml:space="preserve">(2) Als wichtiger Grund gilt insbesondere Krankheit. Ist eine prüfungsrelevante gesundheitliche Beeinträchtigung nicht offenkundig, kann der Vorsitzende des Prüfungsausschusses die Vorlage eines ärztlichen Zeugnisses verlangen, das eine konkrete Beschreibung dieser Beeinträchtigung beinhaltet. Lassen sich Zweifel am Vorliegen einer prüfungsrelevanten gesundheitlichen Beeinträchtigung auf andere Weise nicht ausräumen, kann die oder der Vorsitzende des Prüfungsausschusses auch die Vorlage eines Satz 2 entsprechenden amtsärztlichen Zeugnisses verlangen. </w:t>
      </w:r>
    </w:p>
    <w:p w14:paraId="6BB4BE00" w14:textId="77777777" w:rsidR="00251D2E" w:rsidRPr="00251D2E" w:rsidRDefault="00251D2E" w:rsidP="00251D2E">
      <w:pPr>
        <w:pStyle w:val="Default"/>
        <w:spacing w:after="120"/>
        <w:jc w:val="both"/>
        <w:rPr>
          <w:color w:val="auto"/>
        </w:rPr>
      </w:pPr>
      <w:r w:rsidRPr="00251D2E">
        <w:rPr>
          <w:color w:val="auto"/>
        </w:rPr>
        <w:t xml:space="preserve">(3) Wer sich in Kenntnis einer gesundheitlichen Beeinträchtigung oder eines anderen wichtigen Grundes der Prüfung unterzogen hat, kann dies nachträglich nicht mehr geltend machen. Der Kenntnis steht die fahrlässige Unkenntnis gleich; fahrlässige Unkenntnis liegt insbesondere dann vor, wenn beim Vorliegen einer gesundheitlichen Beeinträchtigung nicht unverzüglich eine Klärung herbeigeführt wurde. </w:t>
      </w:r>
    </w:p>
    <w:p w14:paraId="0FE9E8E9" w14:textId="1E484175" w:rsidR="00251D2E" w:rsidRDefault="00251D2E" w:rsidP="00251D2E">
      <w:pPr>
        <w:pStyle w:val="Default"/>
        <w:spacing w:after="120"/>
        <w:jc w:val="both"/>
        <w:rPr>
          <w:color w:val="auto"/>
        </w:rPr>
      </w:pPr>
      <w:r w:rsidRPr="00251D2E">
        <w:rPr>
          <w:color w:val="auto"/>
        </w:rPr>
        <w:t>(4) Sofern ein wichtiger Grund vorliegt, gilt die Prüfung als nicht unternommen. Die Teilnahme an einer Nachprüfung nach § 17 Absatz 2 Satz 2 ist möglich. Hierbei bleiben die bereits erbrachten Prüfungs</w:t>
      </w:r>
      <w:r w:rsidRPr="00251D2E">
        <w:rPr>
          <w:color w:val="auto"/>
        </w:rPr>
        <w:softHyphen/>
        <w:t xml:space="preserve">leistungen bestehen. </w:t>
      </w:r>
    </w:p>
    <w:p w14:paraId="5503F168" w14:textId="77777777" w:rsidR="00251D2E" w:rsidRPr="00251D2E" w:rsidRDefault="00251D2E" w:rsidP="00251D2E">
      <w:pPr>
        <w:pStyle w:val="Default"/>
        <w:spacing w:after="120"/>
        <w:jc w:val="both"/>
        <w:rPr>
          <w:color w:val="auto"/>
        </w:rPr>
      </w:pPr>
    </w:p>
    <w:p w14:paraId="1B98DD22" w14:textId="77777777" w:rsidR="00251D2E" w:rsidRPr="00251D2E" w:rsidRDefault="00251D2E" w:rsidP="00251D2E">
      <w:pPr>
        <w:pStyle w:val="Default"/>
        <w:rPr>
          <w:color w:val="auto"/>
        </w:rPr>
      </w:pPr>
    </w:p>
    <w:p w14:paraId="52681474" w14:textId="77777777" w:rsidR="00251D2E" w:rsidRPr="00251D2E" w:rsidRDefault="00251D2E" w:rsidP="00251D2E">
      <w:pPr>
        <w:pStyle w:val="Default"/>
        <w:rPr>
          <w:color w:val="auto"/>
        </w:rPr>
      </w:pPr>
      <w:r w:rsidRPr="00251D2E">
        <w:rPr>
          <w:b/>
          <w:bCs/>
          <w:color w:val="auto"/>
        </w:rPr>
        <w:lastRenderedPageBreak/>
        <w:t xml:space="preserve">§ 28 Täuschungshandlungen, Ordnungsverstöße </w:t>
      </w:r>
    </w:p>
    <w:p w14:paraId="7DE57B55" w14:textId="77777777" w:rsidR="00251D2E" w:rsidRPr="00251D2E" w:rsidRDefault="00251D2E" w:rsidP="00251D2E">
      <w:pPr>
        <w:pStyle w:val="Default"/>
        <w:spacing w:after="120"/>
        <w:jc w:val="both"/>
        <w:rPr>
          <w:color w:val="auto"/>
        </w:rPr>
      </w:pPr>
      <w:r w:rsidRPr="00251D2E">
        <w:rPr>
          <w:color w:val="auto"/>
        </w:rPr>
        <w:t xml:space="preserve">(1) Wer es unternimmt, das Prüfungsergebnis durch Täuschung oder Benutzung nicht zugelassener Hilfsmittel zu beeinflussen, oder nicht zugelassene Hilfsmittel nach Bekanntgabe der Prüfungsaufgaben mitführt oder Beihilfe zu einer Täuschung oder einem Täuschungsversuch leistet, begeht eine Täuschungshandlung. </w:t>
      </w:r>
    </w:p>
    <w:p w14:paraId="67B959DF" w14:textId="77777777" w:rsidR="00251D2E" w:rsidRPr="00251D2E" w:rsidRDefault="00251D2E" w:rsidP="00251D2E">
      <w:pPr>
        <w:pStyle w:val="Default"/>
        <w:spacing w:after="120"/>
        <w:jc w:val="both"/>
        <w:rPr>
          <w:color w:val="auto"/>
        </w:rPr>
      </w:pPr>
      <w:r w:rsidRPr="00251D2E">
        <w:rPr>
          <w:color w:val="auto"/>
        </w:rPr>
        <w:t xml:space="preserve">(2) Wird während der Prüfung eine Täuschungshandlung oder ein entsprechender Verdacht festgestellt, ist der Sachverhalt von einer Aufsicht führenden Lehrkraft zu protokollieren. Der Prüfling setzt die Prüfung bis zur Entscheidung über die Täuschungshandlung vorläufig fort. </w:t>
      </w:r>
    </w:p>
    <w:p w14:paraId="4CB9B2BA" w14:textId="77777777" w:rsidR="00251D2E" w:rsidRPr="00251D2E" w:rsidRDefault="00251D2E" w:rsidP="00251D2E">
      <w:pPr>
        <w:pStyle w:val="Default"/>
        <w:spacing w:after="120"/>
        <w:jc w:val="both"/>
        <w:rPr>
          <w:color w:val="auto"/>
        </w:rPr>
      </w:pPr>
      <w:r w:rsidRPr="00251D2E">
        <w:rPr>
          <w:color w:val="auto"/>
        </w:rPr>
        <w:t>(3) Liegt eine Täuschungshandlung vor, wird der Prüfling von der weiteren Teilnahme an der Prüfung ausgeschlossen; dies gilt als Nichtzuerkennung der allgemeinen Hochschulreife. In leichten Fällen kann stattdessen die Prüfungsleistung mit der Note "ungenügend" (0 Punkte) bewertet werden. Die Entscheidung trifft bei der schriftlichen Prüfung deren Leiter (-in), bei der mündlichen Prüfung die oder der Vorsitzende des Prüfungsausschusses, bei der fachpraktischen Prüfung im Fach Sport die oder der Vorsitzende des Fach-ausschusses und bei der Kommunikationsprüfung die Schulleiterin oder der Schulleiter.</w:t>
      </w:r>
    </w:p>
    <w:p w14:paraId="0B0A66EF" w14:textId="77777777" w:rsidR="00251D2E" w:rsidRPr="00251D2E" w:rsidRDefault="00251D2E" w:rsidP="00251D2E">
      <w:pPr>
        <w:pStyle w:val="Default"/>
        <w:spacing w:after="120"/>
        <w:jc w:val="both"/>
        <w:rPr>
          <w:color w:val="auto"/>
        </w:rPr>
      </w:pPr>
      <w:r w:rsidRPr="00251D2E">
        <w:rPr>
          <w:color w:val="auto"/>
        </w:rPr>
        <w:t xml:space="preserve">(4) Stellt sich eine Täuschungshandlung erst nach Aushändigung des Zeugnisses heraus, kann die obere Schulaufsichtsbehörde das Zeugnis einziehen und entweder ein anderes Zeugnis erteilen oder die Zuerkennung der allgemeinen Hochschulreife zurücknehmen, sofern seit der Ausstellung des Zeugnisses nicht mehr als zwei Jahre vergangen sind. </w:t>
      </w:r>
    </w:p>
    <w:p w14:paraId="49C4CA64" w14:textId="24FB114E" w:rsidR="00657377" w:rsidRDefault="00251D2E" w:rsidP="00251D2E">
      <w:pPr>
        <w:pStyle w:val="Default"/>
        <w:spacing w:after="120"/>
        <w:jc w:val="both"/>
        <w:rPr>
          <w:color w:val="auto"/>
          <w:sz w:val="20"/>
          <w:szCs w:val="19"/>
        </w:rPr>
      </w:pPr>
      <w:r w:rsidRPr="00251D2E">
        <w:rPr>
          <w:color w:val="auto"/>
        </w:rPr>
        <w:t>(5) Wer durch sein Verhalten die Prüfung so schwer behindert, dass es nicht möglich ist, die Prüfung ordnungsgemäß durchzuführen, wird von der Prüfung ausgeschlossen; dies gilt als Nichtzuerkennung der allgemeinen Hochschulreife. Absatz 3 Satz 3 gilt entsprechend</w:t>
      </w:r>
      <w:r w:rsidRPr="00480E98">
        <w:rPr>
          <w:color w:val="auto"/>
          <w:sz w:val="20"/>
          <w:szCs w:val="19"/>
        </w:rPr>
        <w:t xml:space="preserve">. </w:t>
      </w:r>
    </w:p>
    <w:p w14:paraId="4ED3B29B" w14:textId="77777777" w:rsidR="00251D2E" w:rsidRPr="00251D2E" w:rsidRDefault="00251D2E" w:rsidP="00251D2E">
      <w:pPr>
        <w:pStyle w:val="Default"/>
        <w:spacing w:after="120"/>
        <w:jc w:val="both"/>
        <w:rPr>
          <w:color w:val="auto"/>
          <w:sz w:val="20"/>
          <w:szCs w:val="19"/>
        </w:rPr>
      </w:pPr>
    </w:p>
    <w:p w14:paraId="1D952BBB" w14:textId="77777777" w:rsidR="00657377" w:rsidRPr="00657377" w:rsidRDefault="00657377" w:rsidP="00657377">
      <w:pPr>
        <w:rPr>
          <w:rFonts w:ascii="Arial" w:eastAsia="Calibri" w:hAnsi="Arial" w:cs="Arial"/>
          <w:b/>
          <w:lang w:eastAsia="en-US"/>
        </w:rPr>
      </w:pPr>
    </w:p>
    <w:p w14:paraId="7EBB70C2" w14:textId="77777777" w:rsidR="00657377" w:rsidRDefault="00657377" w:rsidP="00657377">
      <w:pPr>
        <w:rPr>
          <w:rFonts w:ascii="Arial" w:eastAsia="Calibri" w:hAnsi="Arial" w:cs="Arial"/>
          <w:b/>
          <w:lang w:eastAsia="en-US"/>
        </w:rPr>
      </w:pPr>
      <w:r w:rsidRPr="00657377">
        <w:rPr>
          <w:rFonts w:ascii="Arial" w:eastAsia="Calibri" w:hAnsi="Arial" w:cs="Arial"/>
          <w:b/>
          <w:lang w:eastAsia="en-US"/>
        </w:rPr>
        <w:t>Schriftliche Versicherung</w:t>
      </w:r>
    </w:p>
    <w:p w14:paraId="77E1BBC8" w14:textId="77777777" w:rsidR="00243988" w:rsidRDefault="00243988" w:rsidP="00657377">
      <w:pPr>
        <w:rPr>
          <w:rFonts w:ascii="Arial" w:eastAsia="Calibri" w:hAnsi="Arial" w:cs="Arial"/>
          <w:b/>
          <w:lang w:eastAsia="en-US"/>
        </w:rPr>
      </w:pPr>
    </w:p>
    <w:tbl>
      <w:tblPr>
        <w:tblStyle w:val="Tabellenraster"/>
        <w:tblW w:w="0" w:type="auto"/>
        <w:tblLook w:val="04A0" w:firstRow="1" w:lastRow="0" w:firstColumn="1" w:lastColumn="0" w:noHBand="0" w:noVBand="1"/>
      </w:tblPr>
      <w:tblGrid>
        <w:gridCol w:w="9678"/>
      </w:tblGrid>
      <w:tr w:rsidR="00657377" w14:paraId="615ACA9E" w14:textId="77777777" w:rsidTr="00657377">
        <w:tc>
          <w:tcPr>
            <w:tcW w:w="9828" w:type="dxa"/>
          </w:tcPr>
          <w:p w14:paraId="29EDEADB" w14:textId="77777777" w:rsidR="00243988" w:rsidRDefault="00243988" w:rsidP="00243988">
            <w:pPr>
              <w:autoSpaceDE w:val="0"/>
              <w:autoSpaceDN w:val="0"/>
              <w:adjustRightInd w:val="0"/>
              <w:spacing w:line="276" w:lineRule="auto"/>
              <w:rPr>
                <w:rFonts w:ascii="Arial" w:hAnsi="Arial" w:cs="Arial"/>
              </w:rPr>
            </w:pPr>
          </w:p>
          <w:p w14:paraId="58D0D761" w14:textId="77777777" w:rsidR="00936AF9" w:rsidRDefault="00657377" w:rsidP="00243988">
            <w:pPr>
              <w:autoSpaceDE w:val="0"/>
              <w:autoSpaceDN w:val="0"/>
              <w:adjustRightInd w:val="0"/>
              <w:spacing w:line="276" w:lineRule="auto"/>
              <w:rPr>
                <w:rFonts w:ascii="Arial" w:hAnsi="Arial" w:cs="Arial"/>
              </w:rPr>
            </w:pPr>
            <w:r w:rsidRPr="00657377">
              <w:rPr>
                <w:rFonts w:ascii="Arial" w:hAnsi="Arial" w:cs="Arial"/>
              </w:rPr>
              <w:t>"Ich versichere, dass ich die Präsentation selbständig angefertigt, nur die angegebenen Hilfsmittel benutzt und alle Stellen, die dem Wortlaut oder dem Sinn nach anderen Werken entnommen sind, durch Angabe der Quellen als Entlehnung kenntlich gemacht habe. Sie wurde in gleicher oder ähnlicher Form als bewertete Leistung (GFS, Seminararbeit, o.ä.) von mir noch nicht bearbeitet</w:t>
            </w:r>
            <w:r w:rsidR="00936AF9">
              <w:rPr>
                <w:rFonts w:ascii="Arial" w:hAnsi="Arial" w:cs="Arial"/>
              </w:rPr>
              <w:t xml:space="preserve">. </w:t>
            </w:r>
          </w:p>
          <w:p w14:paraId="2757AF7F" w14:textId="5E1EA5F0" w:rsidR="00657377" w:rsidRPr="00657377" w:rsidRDefault="00936AF9" w:rsidP="00243988">
            <w:pPr>
              <w:autoSpaceDE w:val="0"/>
              <w:autoSpaceDN w:val="0"/>
              <w:adjustRightInd w:val="0"/>
              <w:spacing w:line="276" w:lineRule="auto"/>
              <w:rPr>
                <w:rFonts w:ascii="Arial" w:hAnsi="Arial" w:cs="Arial"/>
                <w:sz w:val="20"/>
                <w:szCs w:val="20"/>
              </w:rPr>
            </w:pPr>
            <w:r>
              <w:rPr>
                <w:rFonts w:ascii="Arial" w:hAnsi="Arial" w:cs="Arial"/>
              </w:rPr>
              <w:t>Ich habe die §27 und §28 der BGVO gelesen</w:t>
            </w:r>
            <w:r w:rsidR="00657377" w:rsidRPr="00657377">
              <w:rPr>
                <w:rFonts w:ascii="Arial" w:hAnsi="Arial" w:cs="Arial"/>
              </w:rPr>
              <w:t>".</w:t>
            </w:r>
          </w:p>
          <w:p w14:paraId="69F4701A" w14:textId="77777777" w:rsidR="00657377" w:rsidRDefault="00657377" w:rsidP="00243988">
            <w:pPr>
              <w:spacing w:line="276" w:lineRule="auto"/>
              <w:rPr>
                <w:rFonts w:ascii="Arial" w:hAnsi="Arial" w:cs="Arial"/>
              </w:rPr>
            </w:pPr>
          </w:p>
          <w:p w14:paraId="617D94E6" w14:textId="77777777" w:rsidR="00243988" w:rsidRPr="00657377" w:rsidRDefault="00243988" w:rsidP="00243988">
            <w:pPr>
              <w:spacing w:line="276" w:lineRule="auto"/>
              <w:rPr>
                <w:rFonts w:ascii="Arial" w:hAnsi="Arial" w:cs="Arial"/>
              </w:rPr>
            </w:pPr>
          </w:p>
          <w:p w14:paraId="29C61445" w14:textId="77777777" w:rsidR="00657377" w:rsidRPr="00657377" w:rsidRDefault="00657377" w:rsidP="00243988">
            <w:pPr>
              <w:spacing w:line="276" w:lineRule="auto"/>
              <w:rPr>
                <w:rFonts w:ascii="Arial" w:hAnsi="Arial" w:cs="Arial"/>
              </w:rPr>
            </w:pPr>
            <w:r w:rsidRPr="00657377">
              <w:rPr>
                <w:rFonts w:ascii="Arial" w:hAnsi="Arial" w:cs="Arial"/>
              </w:rPr>
              <w:t>____________________________________________</w:t>
            </w:r>
            <w:r w:rsidR="00243988">
              <w:rPr>
                <w:rFonts w:ascii="Arial" w:hAnsi="Arial" w:cs="Arial"/>
              </w:rPr>
              <w:t>_______________________</w:t>
            </w:r>
            <w:r w:rsidRPr="00657377">
              <w:rPr>
                <w:rFonts w:ascii="Arial" w:hAnsi="Arial" w:cs="Arial"/>
              </w:rPr>
              <w:t>___</w:t>
            </w:r>
          </w:p>
          <w:p w14:paraId="2F04774E" w14:textId="77777777" w:rsidR="00657377" w:rsidRPr="00657377" w:rsidRDefault="00243988" w:rsidP="00243988">
            <w:pPr>
              <w:spacing w:line="276" w:lineRule="auto"/>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57377" w:rsidRPr="00657377">
              <w:rPr>
                <w:rFonts w:ascii="Arial" w:hAnsi="Arial" w:cs="Arial"/>
              </w:rPr>
              <w:t xml:space="preserve"> Unterschrift</w:t>
            </w:r>
          </w:p>
          <w:p w14:paraId="5961B5D0" w14:textId="77777777" w:rsidR="00657377" w:rsidRDefault="00657377" w:rsidP="00243988">
            <w:pPr>
              <w:spacing w:line="276" w:lineRule="auto"/>
            </w:pPr>
          </w:p>
          <w:p w14:paraId="1488DB89" w14:textId="77777777" w:rsidR="00657377" w:rsidRDefault="00657377" w:rsidP="00657377">
            <w:pPr>
              <w:rPr>
                <w:rFonts w:ascii="Arial" w:eastAsia="Calibri" w:hAnsi="Arial" w:cs="Arial"/>
                <w:b/>
                <w:lang w:eastAsia="en-US"/>
              </w:rPr>
            </w:pPr>
          </w:p>
        </w:tc>
      </w:tr>
    </w:tbl>
    <w:p w14:paraId="731C03E9" w14:textId="77777777" w:rsidR="00410002" w:rsidRPr="00657377" w:rsidRDefault="00410002" w:rsidP="00243988">
      <w:pPr>
        <w:rPr>
          <w:rFonts w:ascii="Arial" w:hAnsi="Arial" w:cs="Arial"/>
        </w:rPr>
      </w:pPr>
    </w:p>
    <w:sectPr w:rsidR="00410002" w:rsidRPr="00657377" w:rsidSect="00657377">
      <w:headerReference w:type="default" r:id="rId9"/>
      <w:pgSz w:w="12240" w:h="15840"/>
      <w:pgMar w:top="1911" w:right="1134" w:bottom="0" w:left="1418" w:header="56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4C83" w14:textId="77777777" w:rsidR="00CC5261" w:rsidRDefault="00CC5261" w:rsidP="00080FDD">
      <w:r>
        <w:separator/>
      </w:r>
    </w:p>
  </w:endnote>
  <w:endnote w:type="continuationSeparator" w:id="0">
    <w:p w14:paraId="2034FE9F" w14:textId="77777777" w:rsidR="00CC5261" w:rsidRDefault="00CC5261" w:rsidP="0008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FDB1" w14:textId="77777777" w:rsidR="00CC5261" w:rsidRDefault="00CC5261" w:rsidP="00080FDD">
      <w:r>
        <w:separator/>
      </w:r>
    </w:p>
  </w:footnote>
  <w:footnote w:type="continuationSeparator" w:id="0">
    <w:p w14:paraId="358A8E1D" w14:textId="77777777" w:rsidR="00CC5261" w:rsidRDefault="00CC5261" w:rsidP="0008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228D" w14:textId="0F2BD98E" w:rsidR="00F04A76" w:rsidRDefault="00251D2E" w:rsidP="00F04A76">
    <w:pPr>
      <w:pStyle w:val="Kopfzeile"/>
      <w:tabs>
        <w:tab w:val="clear" w:pos="4536"/>
        <w:tab w:val="center" w:pos="4820"/>
      </w:tabs>
      <w:ind w:left="-709"/>
    </w:pPr>
    <w:r>
      <w:rPr>
        <w:noProof/>
      </w:rPr>
      <mc:AlternateContent>
        <mc:Choice Requires="wps">
          <w:drawing>
            <wp:anchor distT="0" distB="0" distL="114300" distR="114300" simplePos="0" relativeHeight="251659264" behindDoc="0" locked="0" layoutInCell="1" allowOverlap="1" wp14:anchorId="034771FF" wp14:editId="18B91373">
              <wp:simplePos x="0" y="0"/>
              <wp:positionH relativeFrom="column">
                <wp:posOffset>3252470</wp:posOffset>
              </wp:positionH>
              <wp:positionV relativeFrom="paragraph">
                <wp:posOffset>521335</wp:posOffset>
              </wp:positionV>
              <wp:extent cx="1920875" cy="2082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CC61" w14:textId="77777777" w:rsidR="00F04A76" w:rsidRPr="00565A32" w:rsidRDefault="00F04A76" w:rsidP="00F04A76">
                          <w:pPr>
                            <w:jc w:val="right"/>
                            <w:rPr>
                              <w:rFonts w:ascii="Arial" w:hAnsi="Arial" w:cs="Arial"/>
                              <w:sz w:val="16"/>
                              <w:szCs w:val="16"/>
                            </w:rPr>
                          </w:pPr>
                          <w:r>
                            <w:rPr>
                              <w:rFonts w:ascii="Arial" w:hAnsi="Arial" w:cs="Arial"/>
                              <w:sz w:val="16"/>
                              <w:szCs w:val="16"/>
                            </w:rPr>
                            <w:t>Wirtschaftsgymnasium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4771FF" id="_x0000_t202" coordsize="21600,21600" o:spt="202" path="m,l,21600r21600,l21600,xe">
              <v:stroke joinstyle="miter"/>
              <v:path gradientshapeok="t" o:connecttype="rect"/>
            </v:shapetype>
            <v:shape id="Text Box 1" o:spid="_x0000_s1026" type="#_x0000_t202" style="position:absolute;left:0;text-align:left;margin-left:256.1pt;margin-top:41.05pt;width:151.2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" filled="f" stroked="f">
              <v:textbox style="mso-fit-shape-to-text:t">
                <w:txbxContent>
                  <w:p w14:paraId="2DF8CC61" w14:textId="77777777" w:rsidR="00F04A76" w:rsidRPr="00565A32" w:rsidRDefault="00F04A76" w:rsidP="00F04A76">
                    <w:pPr>
                      <w:jc w:val="right"/>
                      <w:rPr>
                        <w:rFonts w:ascii="Arial" w:hAnsi="Arial" w:cs="Arial"/>
                        <w:sz w:val="16"/>
                        <w:szCs w:val="16"/>
                      </w:rPr>
                    </w:pPr>
                    <w:r>
                      <w:rPr>
                        <w:rFonts w:ascii="Arial" w:hAnsi="Arial" w:cs="Arial"/>
                        <w:sz w:val="16"/>
                        <w:szCs w:val="16"/>
                      </w:rPr>
                      <w:t>Wirtschaftsgymnasium</w:t>
                    </w:r>
                  </w:p>
                </w:txbxContent>
              </v:textbox>
            </v:shape>
          </w:pict>
        </mc:Fallback>
      </mc:AlternateContent>
    </w:r>
    <w:r>
      <w:rPr>
        <w:rFonts w:ascii="Arial" w:hAnsi="Arial" w:cs="Arial"/>
        <w:noProof/>
        <w:sz w:val="22"/>
        <w:szCs w:val="22"/>
      </w:rPr>
      <w:drawing>
        <wp:inline distT="0" distB="0" distL="0" distR="0" wp14:anchorId="66ED057F" wp14:editId="3ED4EDFF">
          <wp:extent cx="7099300" cy="927100"/>
          <wp:effectExtent l="0" t="0" r="0" b="0"/>
          <wp:docPr id="1" name="Bild 1" descr="Beschreibung: 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0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0" cy="927100"/>
                  </a:xfrm>
                  <a:prstGeom prst="rect">
                    <a:avLst/>
                  </a:prstGeom>
                  <a:noFill/>
                  <a:ln>
                    <a:noFill/>
                  </a:ln>
                </pic:spPr>
              </pic:pic>
            </a:graphicData>
          </a:graphic>
        </wp:inline>
      </w:drawing>
    </w:r>
  </w:p>
  <w:p w14:paraId="5CD46DA3" w14:textId="77777777" w:rsidR="00F04A76" w:rsidRPr="009315EE" w:rsidRDefault="00F04A76" w:rsidP="00F04A76">
    <w:pPr>
      <w:pStyle w:val="Kopfzeile"/>
    </w:pPr>
  </w:p>
  <w:p w14:paraId="5C7EEE24" w14:textId="77777777" w:rsidR="00FB05E9" w:rsidRPr="009315EE" w:rsidRDefault="00FB05E9" w:rsidP="009315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D5F37"/>
    <w:multiLevelType w:val="hybridMultilevel"/>
    <w:tmpl w:val="25126B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135D20"/>
    <w:multiLevelType w:val="hybridMultilevel"/>
    <w:tmpl w:val="264C9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8202983">
    <w:abstractNumId w:val="0"/>
  </w:num>
  <w:num w:numId="2" w16cid:durableId="896937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DD"/>
    <w:rsid w:val="00042396"/>
    <w:rsid w:val="00077641"/>
    <w:rsid w:val="00080FDD"/>
    <w:rsid w:val="000C2882"/>
    <w:rsid w:val="000E1C68"/>
    <w:rsid w:val="00176026"/>
    <w:rsid w:val="00243988"/>
    <w:rsid w:val="00251D2E"/>
    <w:rsid w:val="00274097"/>
    <w:rsid w:val="002C422F"/>
    <w:rsid w:val="0039270C"/>
    <w:rsid w:val="004077BD"/>
    <w:rsid w:val="00410002"/>
    <w:rsid w:val="00473215"/>
    <w:rsid w:val="00481B26"/>
    <w:rsid w:val="004A4B4B"/>
    <w:rsid w:val="00502EC7"/>
    <w:rsid w:val="005669C3"/>
    <w:rsid w:val="005749E2"/>
    <w:rsid w:val="00657377"/>
    <w:rsid w:val="006708D6"/>
    <w:rsid w:val="007134F3"/>
    <w:rsid w:val="009315EE"/>
    <w:rsid w:val="00936AF9"/>
    <w:rsid w:val="0098623C"/>
    <w:rsid w:val="00AF075D"/>
    <w:rsid w:val="00AF7261"/>
    <w:rsid w:val="00B63BF8"/>
    <w:rsid w:val="00CA74E7"/>
    <w:rsid w:val="00CC5261"/>
    <w:rsid w:val="00D44244"/>
    <w:rsid w:val="00E258DA"/>
    <w:rsid w:val="00E9550B"/>
    <w:rsid w:val="00F04A76"/>
    <w:rsid w:val="00F2653E"/>
    <w:rsid w:val="00F41A60"/>
    <w:rsid w:val="00FB05E9"/>
    <w:rsid w:val="00FC1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2634A"/>
  <w15:docId w15:val="{560388B9-F66A-4955-817C-6CC9D4D0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0FDD"/>
    <w:rPr>
      <w:rFonts w:ascii="Times New Roman" w:eastAsia="Times New Roman" w:hAnsi="Times New Roman"/>
      <w:sz w:val="24"/>
      <w:szCs w:val="24"/>
    </w:rPr>
  </w:style>
  <w:style w:type="paragraph" w:styleId="berschrift1">
    <w:name w:val="heading 1"/>
    <w:basedOn w:val="Standard"/>
    <w:next w:val="Standard"/>
    <w:link w:val="berschrift1Zchn"/>
    <w:qFormat/>
    <w:rsid w:val="00080FDD"/>
    <w:pPr>
      <w:autoSpaceDE w:val="0"/>
      <w:autoSpaceDN w:val="0"/>
      <w:adjustRightInd w:val="0"/>
      <w:outlineLvl w:val="0"/>
    </w:pPr>
    <w:rPr>
      <w:rFonts w:ascii="Arial" w:hAnsi="Arial" w:cs="Arial"/>
      <w:color w:val="FFCC66"/>
      <w:sz w:val="44"/>
      <w:szCs w:val="44"/>
      <w14:shadow w14:blurRad="50800" w14:dist="38100" w14:dir="2700000" w14:sx="100000" w14:sy="100000" w14:kx="0" w14:ky="0" w14:algn="tl">
        <w14:srgbClr w14:val="000000">
          <w14:alpha w14:val="60000"/>
        </w14:srgbClr>
      </w14:shadow>
    </w:rPr>
  </w:style>
  <w:style w:type="paragraph" w:styleId="berschrift4">
    <w:name w:val="heading 4"/>
    <w:basedOn w:val="Standard"/>
    <w:next w:val="Standard"/>
    <w:link w:val="berschrift4Zchn"/>
    <w:qFormat/>
    <w:rsid w:val="00080FDD"/>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0FDD"/>
    <w:rPr>
      <w:rFonts w:ascii="Arial" w:eastAsia="Times New Roman" w:hAnsi="Arial" w:cs="Arial"/>
      <w:color w:val="FFCC66"/>
      <w:sz w:val="44"/>
      <w:szCs w:val="44"/>
      <w:lang w:eastAsia="de-DE"/>
      <w14:shadow w14:blurRad="50800" w14:dist="38100" w14:dir="2700000" w14:sx="100000" w14:sy="100000" w14:kx="0" w14:ky="0" w14:algn="tl">
        <w14:srgbClr w14:val="000000">
          <w14:alpha w14:val="60000"/>
        </w14:srgbClr>
      </w14:shadow>
    </w:rPr>
  </w:style>
  <w:style w:type="character" w:customStyle="1" w:styleId="berschrift4Zchn">
    <w:name w:val="Überschrift 4 Zchn"/>
    <w:basedOn w:val="Absatz-Standardschriftart"/>
    <w:link w:val="berschrift4"/>
    <w:rsid w:val="00080FDD"/>
    <w:rPr>
      <w:rFonts w:ascii="Times New Roman" w:eastAsia="Times New Roman" w:hAnsi="Times New Roman" w:cs="Times New Roman"/>
      <w:b/>
      <w:bCs/>
      <w:sz w:val="24"/>
      <w:szCs w:val="24"/>
      <w:lang w:eastAsia="de-DE"/>
    </w:rPr>
  </w:style>
  <w:style w:type="paragraph" w:styleId="Kopfzeile">
    <w:name w:val="header"/>
    <w:basedOn w:val="Standard"/>
    <w:link w:val="KopfzeileZchn"/>
    <w:uiPriority w:val="99"/>
    <w:unhideWhenUsed/>
    <w:rsid w:val="00080FDD"/>
    <w:pPr>
      <w:tabs>
        <w:tab w:val="center" w:pos="4536"/>
        <w:tab w:val="right" w:pos="9072"/>
      </w:tabs>
    </w:pPr>
  </w:style>
  <w:style w:type="character" w:customStyle="1" w:styleId="KopfzeileZchn">
    <w:name w:val="Kopfzeile Zchn"/>
    <w:basedOn w:val="Absatz-Standardschriftart"/>
    <w:link w:val="Kopfzeile"/>
    <w:uiPriority w:val="99"/>
    <w:rsid w:val="00080FD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80FDD"/>
    <w:pPr>
      <w:tabs>
        <w:tab w:val="center" w:pos="4536"/>
        <w:tab w:val="right" w:pos="9072"/>
      </w:tabs>
    </w:pPr>
  </w:style>
  <w:style w:type="character" w:customStyle="1" w:styleId="FuzeileZchn">
    <w:name w:val="Fußzeile Zchn"/>
    <w:basedOn w:val="Absatz-Standardschriftart"/>
    <w:link w:val="Fuzeile"/>
    <w:uiPriority w:val="99"/>
    <w:rsid w:val="00080FDD"/>
    <w:rPr>
      <w:rFonts w:ascii="Times New Roman" w:eastAsia="Times New Roman" w:hAnsi="Times New Roman" w:cs="Times New Roman"/>
      <w:sz w:val="24"/>
      <w:szCs w:val="24"/>
      <w:lang w:eastAsia="de-DE"/>
    </w:rPr>
  </w:style>
  <w:style w:type="table" w:styleId="Tabellenraster">
    <w:name w:val="Table Grid"/>
    <w:basedOn w:val="NormaleTabelle"/>
    <w:uiPriority w:val="59"/>
    <w:rsid w:val="00986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502E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EC7"/>
    <w:rPr>
      <w:rFonts w:ascii="Tahoma" w:eastAsia="Times New Roman" w:hAnsi="Tahoma" w:cs="Tahoma"/>
      <w:sz w:val="16"/>
      <w:szCs w:val="16"/>
    </w:rPr>
  </w:style>
  <w:style w:type="paragraph" w:customStyle="1" w:styleId="Default">
    <w:name w:val="Default"/>
    <w:rsid w:val="00251D2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it.de/2005/30/L-Bu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4DBF46B1D738443BDCF03F23CF549BF" ma:contentTypeVersion="0" ma:contentTypeDescription="Ein neues Dokument erstellen." ma:contentTypeScope="" ma:versionID="4840a8e692b0915ce6c4dff60aa11ec6">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53229-7363-49E4-AB4F-B9A16B112E0C}">
  <ds:schemaRefs>
    <ds:schemaRef ds:uri="http://schemas.openxmlformats.org/officeDocument/2006/bibliography"/>
  </ds:schemaRefs>
</ds:datastoreItem>
</file>

<file path=customXml/itemProps2.xml><?xml version="1.0" encoding="utf-8"?>
<ds:datastoreItem xmlns:ds="http://schemas.openxmlformats.org/officeDocument/2006/customXml" ds:itemID="{12C18D0C-29D5-488E-A4A7-CEEA212B5B75}"/>
</file>

<file path=customXml/itemProps3.xml><?xml version="1.0" encoding="utf-8"?>
<ds:datastoreItem xmlns:ds="http://schemas.openxmlformats.org/officeDocument/2006/customXml" ds:itemID="{B16A6C79-6888-48D0-97F6-39840659542C}"/>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weyhersmüller</dc:creator>
  <cp:keywords/>
  <dc:description/>
  <cp:lastModifiedBy>Stephi Hester</cp:lastModifiedBy>
  <cp:revision>3</cp:revision>
  <cp:lastPrinted>2009-03-19T12:38:00Z</cp:lastPrinted>
  <dcterms:created xsi:type="dcterms:W3CDTF">2022-06-27T09:56:00Z</dcterms:created>
  <dcterms:modified xsi:type="dcterms:W3CDTF">2022-06-27T11:15:00Z</dcterms:modified>
</cp:coreProperties>
</file>